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9A2" w:rsidRPr="00BD19A2" w:rsidRDefault="00BD19A2" w:rsidP="009D0D10">
      <w:pPr>
        <w:pStyle w:val="a3"/>
        <w:jc w:val="center"/>
        <w:rPr>
          <w:rFonts w:asciiTheme="majorHAnsi" w:hAnsiTheme="majorHAnsi"/>
          <w:b/>
          <w:lang w:eastAsia="ru-RU"/>
        </w:rPr>
      </w:pPr>
      <w:r w:rsidRPr="00BD19A2">
        <w:rPr>
          <w:rFonts w:asciiTheme="majorHAnsi" w:hAnsiTheme="majorHAnsi"/>
          <w:b/>
          <w:bdr w:val="none" w:sz="0" w:space="0" w:color="auto" w:frame="1"/>
          <w:lang w:eastAsia="ru-RU"/>
        </w:rPr>
        <w:t>Обязанности ответственного за безопасную эксплуатацию лифта, платформы</w:t>
      </w:r>
    </w:p>
    <w:p w:rsidR="00BD19A2" w:rsidRDefault="00BD19A2" w:rsidP="009D0D10">
      <w:pPr>
        <w:pStyle w:val="a3"/>
        <w:jc w:val="center"/>
        <w:rPr>
          <w:rFonts w:asciiTheme="majorHAnsi" w:hAnsiTheme="majorHAnsi"/>
          <w:b/>
          <w:lang w:eastAsia="ru-RU"/>
        </w:rPr>
      </w:pPr>
      <w:r w:rsidRPr="00BD19A2">
        <w:rPr>
          <w:rFonts w:asciiTheme="majorHAnsi" w:hAnsiTheme="majorHAnsi"/>
          <w:b/>
          <w:lang w:eastAsia="ru-RU"/>
        </w:rPr>
        <w:t xml:space="preserve">(из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Пост. </w:t>
      </w:r>
      <w:proofErr w:type="gramStart"/>
      <w:r w:rsidRPr="00BD19A2">
        <w:rPr>
          <w:rFonts w:asciiTheme="majorHAnsi" w:hAnsiTheme="majorHAnsi"/>
          <w:b/>
          <w:lang w:eastAsia="ru-RU"/>
        </w:rPr>
        <w:t>Правительства РФ № 743 от 24.06.2017)</w:t>
      </w:r>
      <w:proofErr w:type="gramEnd"/>
    </w:p>
    <w:p w:rsidR="009D0D10" w:rsidRDefault="009D0D10" w:rsidP="009D0D10">
      <w:pPr>
        <w:pStyle w:val="a3"/>
        <w:jc w:val="center"/>
        <w:rPr>
          <w:rFonts w:asciiTheme="majorHAnsi" w:hAnsiTheme="majorHAnsi"/>
          <w:b/>
          <w:lang w:eastAsia="ru-RU"/>
        </w:rPr>
      </w:pPr>
      <w:bookmarkStart w:id="0" w:name="_GoBack"/>
      <w:bookmarkEnd w:id="0"/>
    </w:p>
    <w:p w:rsidR="00D242BC" w:rsidRPr="00BD19A2" w:rsidRDefault="00D242BC" w:rsidP="00BD19A2">
      <w:pPr>
        <w:pStyle w:val="a3"/>
        <w:rPr>
          <w:rFonts w:asciiTheme="majorHAnsi" w:hAnsiTheme="majorHAnsi"/>
          <w:b/>
          <w:lang w:eastAsia="ru-RU"/>
        </w:rPr>
      </w:pPr>
    </w:p>
    <w:p w:rsidR="00BD19A2" w:rsidRPr="00D242BC" w:rsidRDefault="00BD19A2" w:rsidP="00D242BC">
      <w:pPr>
        <w:pStyle w:val="a3"/>
        <w:jc w:val="center"/>
        <w:rPr>
          <w:rFonts w:asciiTheme="majorHAnsi" w:hAnsiTheme="majorHAnsi"/>
          <w:b/>
          <w:i/>
          <w:caps/>
          <w:spacing w:val="24"/>
          <w:sz w:val="24"/>
          <w:szCs w:val="24"/>
          <w:bdr w:val="none" w:sz="0" w:space="0" w:color="auto" w:frame="1"/>
          <w:lang w:eastAsia="ru-RU"/>
        </w:rPr>
      </w:pPr>
      <w:r w:rsidRPr="00D242BC">
        <w:rPr>
          <w:rFonts w:asciiTheme="majorHAnsi" w:hAnsiTheme="majorHAnsi"/>
          <w:b/>
          <w:i/>
          <w:caps/>
          <w:spacing w:val="24"/>
          <w:sz w:val="24"/>
          <w:szCs w:val="24"/>
          <w:bdr w:val="none" w:sz="0" w:space="0" w:color="auto" w:frame="1"/>
          <w:lang w:eastAsia="ru-RU"/>
        </w:rPr>
        <w:t>ТЕХНИЧЕСКИЕ</w:t>
      </w:r>
    </w:p>
    <w:p w:rsidR="00D242BC" w:rsidRPr="00D242BC" w:rsidRDefault="00D242BC" w:rsidP="00D242BC">
      <w:pPr>
        <w:pStyle w:val="a3"/>
        <w:jc w:val="center"/>
        <w:rPr>
          <w:rFonts w:asciiTheme="majorHAnsi" w:hAnsiTheme="majorHAnsi"/>
          <w:b/>
          <w:i/>
          <w:caps/>
          <w:spacing w:val="24"/>
          <w:sz w:val="24"/>
          <w:szCs w:val="24"/>
          <w:lang w:eastAsia="ru-RU"/>
        </w:rPr>
      </w:pP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б) обеспечение соответствия фактических параметров объекта основным техническим данным и характеристикам объекта и его оборудования, указанным в сопроводительной документации объекта;</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з) обеспечение надлежащего функционирования двусторонней переговорной связи между лицами, находящимися в кабине лифта, на грузонесущем устройстве подъемной платформы для инвалидов, если такая платформа оборудована средствами для подключения к двусторонней переговорной связи, и квалифицированным персоналом;</w:t>
      </w:r>
    </w:p>
    <w:p w:rsidR="00BD19A2"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т) обеспечение электрической энергией оборудования систем диспетчерского (операторского) контроля, видеонаблюдения, двусторонней переговорной связи и освещения кабины в течение не менее 1 часа после прекращения энергоснабжения объекта.</w:t>
      </w:r>
    </w:p>
    <w:p w:rsidR="00D242BC" w:rsidRPr="00D242BC" w:rsidRDefault="00D242BC" w:rsidP="00BD19A2">
      <w:pPr>
        <w:pStyle w:val="a3"/>
        <w:rPr>
          <w:rFonts w:asciiTheme="majorHAnsi" w:hAnsiTheme="majorHAnsi"/>
          <w:sz w:val="24"/>
          <w:szCs w:val="24"/>
          <w:lang w:eastAsia="ru-RU"/>
        </w:rPr>
      </w:pPr>
    </w:p>
    <w:p w:rsidR="00BD19A2" w:rsidRDefault="00BD19A2" w:rsidP="00D242BC">
      <w:pPr>
        <w:pStyle w:val="a3"/>
        <w:jc w:val="center"/>
        <w:rPr>
          <w:rFonts w:asciiTheme="majorHAnsi" w:hAnsiTheme="majorHAnsi"/>
          <w:b/>
          <w:i/>
          <w:caps/>
          <w:spacing w:val="24"/>
          <w:sz w:val="24"/>
          <w:szCs w:val="24"/>
          <w:bdr w:val="none" w:sz="0" w:space="0" w:color="auto" w:frame="1"/>
          <w:lang w:eastAsia="ru-RU"/>
        </w:rPr>
      </w:pPr>
      <w:r w:rsidRPr="00D242BC">
        <w:rPr>
          <w:rFonts w:asciiTheme="majorHAnsi" w:hAnsiTheme="majorHAnsi"/>
          <w:b/>
          <w:i/>
          <w:caps/>
          <w:spacing w:val="24"/>
          <w:sz w:val="24"/>
          <w:szCs w:val="24"/>
          <w:bdr w:val="none" w:sz="0" w:space="0" w:color="auto" w:frame="1"/>
          <w:lang w:eastAsia="ru-RU"/>
        </w:rPr>
        <w:t>ОРГАНИЗАЦИОННЫЕ</w:t>
      </w:r>
    </w:p>
    <w:p w:rsidR="00D242BC" w:rsidRPr="00D242BC" w:rsidRDefault="00D242BC" w:rsidP="00D242BC">
      <w:pPr>
        <w:pStyle w:val="a3"/>
        <w:jc w:val="center"/>
        <w:rPr>
          <w:rFonts w:asciiTheme="majorHAnsi" w:hAnsiTheme="majorHAnsi"/>
          <w:b/>
          <w:i/>
          <w:caps/>
          <w:spacing w:val="24"/>
          <w:sz w:val="24"/>
          <w:szCs w:val="24"/>
          <w:lang w:eastAsia="ru-RU"/>
        </w:rPr>
      </w:pP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а) соблюдение требований технических регламентов Таможенного союза “Безопасность лифтов” и “О безопасности машин и оборудования”,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в) организация осмотра объекта, обслуживания и ремонта объекта и системы диспетчерского (операторского) контроля в соответствии с требованиями руководства (инструкции) по эксплуатации объекта и руководства (инструкции) по эксплуатации системы диспетчерского (операторского) контроля объекта (при наличии) (если руководством (инструкцией) по эксплуатации объекта периодичность осмотров объекта не определена, осмотры проводятся уполномоченным владельцем объекта или специализированной организацией работником в начале рабочей смены);</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г) организация аварийно-технического обслуживания объекта в соответствии с положениями пунктов 18 и 19 настоящих Правил, руководства (инструкции) по эксплуатации объекта и руководства (инструкции) по эксплуатации системы диспетчерского (операторского) контроля (при наличии);</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д) организация проведения технического освидетельствования объекта в период назначенного срока службы;</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е) организация проведения обследования объекта по истечении назначенного срока службы;</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ж) выполнение мероприятий по устранению нарушений и неисправностей, выявленных при проведении технического освидетельствования и обследования объекта в сроки, указанные в акте технического освидетельствования объекта и заключении по результатам его обследования;</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к) обеспечение беспрепятственного и безопасного подхода (доступа) квалифицированного персонала к сооружениям и техническим устройствам, используемым на объекте, включая оборудование, расположенное на посадочных, этажных площадках и во вспомогательных помещениях (шахтах, приямках, машинных и блочных помещениях), а также освещенности подходов, проходов и зон обслуживания;</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л) хранение ключей от машинных, блочных, чердачных и других помещений, используемых для размещения оборудования объекта, и их выдача квалифицированному персоналу, исключающие доступ посторонних лиц к помещениям и оборудованию объекта;</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lastRenderedPageBreak/>
        <w:t>м) исключение хранения и размещения в машинных и блочных помещениях, используемых для размещения оборудования объекта, предметов и оборудования, не связанных с использованием и содержанием объекта;</w:t>
      </w:r>
    </w:p>
    <w:p w:rsidR="00BD19A2"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п) приостановление использования объекта в случае возникновения угрозы причинения вреда жизни, здоровью граждан, имуществу граждан и организаций при наличии нарушений по перечню согласно приложению N 1, до устранения такой угрозы;</w:t>
      </w:r>
    </w:p>
    <w:p w:rsidR="00D242BC" w:rsidRPr="00D242BC" w:rsidRDefault="00D242BC" w:rsidP="00D242BC">
      <w:pPr>
        <w:pStyle w:val="a3"/>
        <w:jc w:val="center"/>
        <w:rPr>
          <w:rFonts w:asciiTheme="majorHAnsi" w:hAnsiTheme="majorHAnsi"/>
          <w:b/>
          <w:i/>
          <w:sz w:val="24"/>
          <w:szCs w:val="24"/>
          <w:lang w:eastAsia="ru-RU"/>
        </w:rPr>
      </w:pPr>
    </w:p>
    <w:p w:rsidR="00BD19A2" w:rsidRPr="00D242BC" w:rsidRDefault="00BD19A2" w:rsidP="00D242BC">
      <w:pPr>
        <w:pStyle w:val="a3"/>
        <w:jc w:val="center"/>
        <w:rPr>
          <w:rFonts w:asciiTheme="majorHAnsi" w:hAnsiTheme="majorHAnsi"/>
          <w:b/>
          <w:i/>
          <w:caps/>
          <w:spacing w:val="24"/>
          <w:sz w:val="24"/>
          <w:szCs w:val="24"/>
          <w:bdr w:val="none" w:sz="0" w:space="0" w:color="auto" w:frame="1"/>
          <w:lang w:eastAsia="ru-RU"/>
        </w:rPr>
      </w:pPr>
      <w:r w:rsidRPr="00D242BC">
        <w:rPr>
          <w:rFonts w:asciiTheme="majorHAnsi" w:hAnsiTheme="majorHAnsi"/>
          <w:b/>
          <w:i/>
          <w:caps/>
          <w:spacing w:val="24"/>
          <w:sz w:val="24"/>
          <w:szCs w:val="24"/>
          <w:bdr w:val="none" w:sz="0" w:space="0" w:color="auto" w:frame="1"/>
          <w:lang w:eastAsia="ru-RU"/>
        </w:rPr>
        <w:t>ИНФОРМАЦИОННЫЕ</w:t>
      </w:r>
    </w:p>
    <w:p w:rsidR="00D242BC" w:rsidRPr="00D242BC" w:rsidRDefault="00D242BC" w:rsidP="00BD19A2">
      <w:pPr>
        <w:pStyle w:val="a3"/>
        <w:rPr>
          <w:rFonts w:asciiTheme="majorHAnsi" w:hAnsiTheme="majorHAnsi"/>
          <w:caps/>
          <w:spacing w:val="24"/>
          <w:sz w:val="24"/>
          <w:szCs w:val="24"/>
          <w:lang w:eastAsia="ru-RU"/>
        </w:rPr>
      </w:pP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н) размещение в кабине лифта и на основном посадочном этаже лифта, площадках подъемных платформ для инвалидов, пассажирских конвейеров (движущихся пешеходных дорожек) и эскалаторов информации на стендах, в виде табличек, наклеек и иных носителей, содержащей:</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сведения о средствах и способе связи с квалифицированным персоналом и аварийной службой;</w:t>
      </w: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правила пользования объектом;</w:t>
      </w:r>
    </w:p>
    <w:p w:rsidR="00BD19A2"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о) размещение на основной посадочной площадке (этаже) объекта информации с указанием учетного и заводского номеров, даты ввода в эксплуатацию, срока службы и даты следующего технического освидетельствования объекта;</w:t>
      </w:r>
    </w:p>
    <w:p w:rsidR="00D242BC" w:rsidRPr="00D242BC" w:rsidRDefault="00D242BC" w:rsidP="00BD19A2">
      <w:pPr>
        <w:pStyle w:val="a3"/>
        <w:rPr>
          <w:rFonts w:asciiTheme="majorHAnsi" w:hAnsiTheme="majorHAnsi"/>
          <w:sz w:val="24"/>
          <w:szCs w:val="24"/>
          <w:lang w:eastAsia="ru-RU"/>
        </w:rPr>
      </w:pPr>
    </w:p>
    <w:p w:rsidR="00BD19A2" w:rsidRPr="00D242BC" w:rsidRDefault="00BD19A2" w:rsidP="00D242BC">
      <w:pPr>
        <w:pStyle w:val="a3"/>
        <w:jc w:val="center"/>
        <w:rPr>
          <w:rFonts w:asciiTheme="majorHAnsi" w:hAnsiTheme="majorHAnsi"/>
          <w:b/>
          <w:i/>
          <w:caps/>
          <w:spacing w:val="24"/>
          <w:sz w:val="24"/>
          <w:szCs w:val="24"/>
          <w:bdr w:val="none" w:sz="0" w:space="0" w:color="auto" w:frame="1"/>
          <w:lang w:eastAsia="ru-RU"/>
        </w:rPr>
      </w:pPr>
      <w:r w:rsidRPr="00D242BC">
        <w:rPr>
          <w:rFonts w:asciiTheme="majorHAnsi" w:hAnsiTheme="majorHAnsi"/>
          <w:b/>
          <w:i/>
          <w:caps/>
          <w:spacing w:val="24"/>
          <w:sz w:val="24"/>
          <w:szCs w:val="24"/>
          <w:bdr w:val="none" w:sz="0" w:space="0" w:color="auto" w:frame="1"/>
          <w:lang w:eastAsia="ru-RU"/>
        </w:rPr>
        <w:t>ПЕРСОНАЛ</w:t>
      </w:r>
    </w:p>
    <w:p w:rsidR="00D242BC" w:rsidRPr="00D242BC" w:rsidRDefault="00D242BC" w:rsidP="00BD19A2">
      <w:pPr>
        <w:pStyle w:val="a3"/>
        <w:rPr>
          <w:rFonts w:asciiTheme="majorHAnsi" w:hAnsiTheme="majorHAnsi"/>
          <w:caps/>
          <w:spacing w:val="24"/>
          <w:sz w:val="24"/>
          <w:szCs w:val="24"/>
          <w:lang w:eastAsia="ru-RU"/>
        </w:rPr>
      </w:pP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р) соответствие квалификации работников владельца объекта требованиям профессиональных стандартов в зависимости от выполняемых ими трудовых функций;</w:t>
      </w:r>
    </w:p>
    <w:p w:rsidR="00BD19A2"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с) назначение распорядительным актом из числа квалифицированного персонала лица, ответственного за организацию эксплуатации объекта, к должностным обязанностям которого относится обеспечение реализации мер, предусмотренных настоящим пунктом;</w:t>
      </w:r>
    </w:p>
    <w:p w:rsidR="00D242BC" w:rsidRPr="00D242BC" w:rsidRDefault="00D242BC" w:rsidP="00BD19A2">
      <w:pPr>
        <w:pStyle w:val="a3"/>
        <w:rPr>
          <w:rFonts w:asciiTheme="majorHAnsi" w:hAnsiTheme="majorHAnsi"/>
          <w:sz w:val="24"/>
          <w:szCs w:val="24"/>
          <w:lang w:eastAsia="ru-RU"/>
        </w:rPr>
      </w:pPr>
    </w:p>
    <w:p w:rsidR="00BD19A2" w:rsidRDefault="00BD19A2" w:rsidP="00D242BC">
      <w:pPr>
        <w:pStyle w:val="a3"/>
        <w:jc w:val="center"/>
        <w:rPr>
          <w:rFonts w:asciiTheme="majorHAnsi" w:hAnsiTheme="majorHAnsi"/>
          <w:b/>
          <w:i/>
          <w:caps/>
          <w:spacing w:val="24"/>
          <w:sz w:val="24"/>
          <w:szCs w:val="24"/>
          <w:bdr w:val="none" w:sz="0" w:space="0" w:color="auto" w:frame="1"/>
          <w:lang w:eastAsia="ru-RU"/>
        </w:rPr>
      </w:pPr>
      <w:r w:rsidRPr="00D242BC">
        <w:rPr>
          <w:rFonts w:asciiTheme="majorHAnsi" w:hAnsiTheme="majorHAnsi"/>
          <w:b/>
          <w:i/>
          <w:caps/>
          <w:spacing w:val="24"/>
          <w:sz w:val="24"/>
          <w:szCs w:val="24"/>
          <w:bdr w:val="none" w:sz="0" w:space="0" w:color="auto" w:frame="1"/>
          <w:lang w:eastAsia="ru-RU"/>
        </w:rPr>
        <w:t>ДОКУМЕНТАЦИЯ</w:t>
      </w:r>
    </w:p>
    <w:p w:rsidR="00D242BC" w:rsidRPr="00D242BC" w:rsidRDefault="00D242BC" w:rsidP="00BD19A2">
      <w:pPr>
        <w:pStyle w:val="a3"/>
        <w:rPr>
          <w:rFonts w:asciiTheme="majorHAnsi" w:hAnsiTheme="majorHAnsi"/>
          <w:b/>
          <w:i/>
          <w:caps/>
          <w:spacing w:val="24"/>
          <w:sz w:val="24"/>
          <w:szCs w:val="24"/>
          <w:lang w:eastAsia="ru-RU"/>
        </w:rPr>
      </w:pPr>
    </w:p>
    <w:p w:rsidR="00BD19A2" w:rsidRPr="00D242BC" w:rsidRDefault="00BD19A2" w:rsidP="00BD19A2">
      <w:pPr>
        <w:pStyle w:val="a3"/>
        <w:rPr>
          <w:rFonts w:asciiTheme="majorHAnsi" w:hAnsiTheme="majorHAnsi"/>
          <w:sz w:val="24"/>
          <w:szCs w:val="24"/>
          <w:lang w:eastAsia="ru-RU"/>
        </w:rPr>
      </w:pPr>
      <w:r w:rsidRPr="00D242BC">
        <w:rPr>
          <w:rFonts w:asciiTheme="majorHAnsi" w:hAnsiTheme="majorHAnsi"/>
          <w:sz w:val="24"/>
          <w:szCs w:val="24"/>
          <w:lang w:eastAsia="ru-RU"/>
        </w:rPr>
        <w:t>и) обеспечение сохранности документов, указанных в пункте 9 настоящих Правил;</w:t>
      </w:r>
    </w:p>
    <w:p w:rsidR="003037BB" w:rsidRPr="00D242BC" w:rsidRDefault="003037BB" w:rsidP="00BD19A2">
      <w:pPr>
        <w:pStyle w:val="a3"/>
        <w:rPr>
          <w:sz w:val="24"/>
          <w:szCs w:val="24"/>
        </w:rPr>
      </w:pPr>
    </w:p>
    <w:sectPr w:rsidR="003037BB" w:rsidRPr="00D242BC" w:rsidSect="00BD19A2">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539A1"/>
    <w:multiLevelType w:val="multilevel"/>
    <w:tmpl w:val="0CAC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16"/>
    <w:rsid w:val="003037BB"/>
    <w:rsid w:val="00517316"/>
    <w:rsid w:val="009D0D10"/>
    <w:rsid w:val="00BD19A2"/>
    <w:rsid w:val="00D24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1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BD19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19A2"/>
    <w:pPr>
      <w:spacing w:after="0" w:line="240" w:lineRule="auto"/>
    </w:pPr>
  </w:style>
  <w:style w:type="paragraph" w:styleId="a4">
    <w:name w:val="Normal (Web)"/>
    <w:basedOn w:val="a"/>
    <w:uiPriority w:val="99"/>
    <w:semiHidden/>
    <w:unhideWhenUsed/>
    <w:rsid w:val="00BD19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19A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BD19A2"/>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BD19A2"/>
    <w:rPr>
      <w:color w:val="0000FF"/>
      <w:u w:val="single"/>
    </w:rPr>
  </w:style>
  <w:style w:type="paragraph" w:styleId="a6">
    <w:name w:val="List Paragraph"/>
    <w:basedOn w:val="a"/>
    <w:uiPriority w:val="34"/>
    <w:qFormat/>
    <w:rsid w:val="00BD19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19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BD19A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19A2"/>
    <w:pPr>
      <w:spacing w:after="0" w:line="240" w:lineRule="auto"/>
    </w:pPr>
  </w:style>
  <w:style w:type="paragraph" w:styleId="a4">
    <w:name w:val="Normal (Web)"/>
    <w:basedOn w:val="a"/>
    <w:uiPriority w:val="99"/>
    <w:semiHidden/>
    <w:unhideWhenUsed/>
    <w:rsid w:val="00BD19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D19A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BD19A2"/>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BD19A2"/>
    <w:rPr>
      <w:color w:val="0000FF"/>
      <w:u w:val="single"/>
    </w:rPr>
  </w:style>
  <w:style w:type="paragraph" w:styleId="a6">
    <w:name w:val="List Paragraph"/>
    <w:basedOn w:val="a"/>
    <w:uiPriority w:val="34"/>
    <w:qFormat/>
    <w:rsid w:val="00BD1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11978">
      <w:bodyDiv w:val="1"/>
      <w:marLeft w:val="0"/>
      <w:marRight w:val="0"/>
      <w:marTop w:val="0"/>
      <w:marBottom w:val="0"/>
      <w:divBdr>
        <w:top w:val="none" w:sz="0" w:space="0" w:color="auto"/>
        <w:left w:val="none" w:sz="0" w:space="0" w:color="auto"/>
        <w:bottom w:val="none" w:sz="0" w:space="0" w:color="auto"/>
        <w:right w:val="none" w:sz="0" w:space="0" w:color="auto"/>
      </w:divBdr>
    </w:div>
    <w:div w:id="594049392">
      <w:bodyDiv w:val="1"/>
      <w:marLeft w:val="0"/>
      <w:marRight w:val="0"/>
      <w:marTop w:val="0"/>
      <w:marBottom w:val="0"/>
      <w:divBdr>
        <w:top w:val="none" w:sz="0" w:space="0" w:color="auto"/>
        <w:left w:val="none" w:sz="0" w:space="0" w:color="auto"/>
        <w:bottom w:val="none" w:sz="0" w:space="0" w:color="auto"/>
        <w:right w:val="none" w:sz="0" w:space="0" w:color="auto"/>
      </w:divBdr>
      <w:divsChild>
        <w:div w:id="544099711">
          <w:marLeft w:val="0"/>
          <w:marRight w:val="0"/>
          <w:marTop w:val="0"/>
          <w:marBottom w:val="0"/>
          <w:divBdr>
            <w:top w:val="none" w:sz="0" w:space="0" w:color="auto"/>
            <w:left w:val="none" w:sz="0" w:space="0" w:color="auto"/>
            <w:bottom w:val="none" w:sz="0" w:space="0" w:color="auto"/>
            <w:right w:val="none" w:sz="0" w:space="0" w:color="auto"/>
          </w:divBdr>
        </w:div>
      </w:divsChild>
    </w:div>
    <w:div w:id="1457681185">
      <w:bodyDiv w:val="1"/>
      <w:marLeft w:val="0"/>
      <w:marRight w:val="0"/>
      <w:marTop w:val="0"/>
      <w:marBottom w:val="0"/>
      <w:divBdr>
        <w:top w:val="none" w:sz="0" w:space="0" w:color="auto"/>
        <w:left w:val="none" w:sz="0" w:space="0" w:color="auto"/>
        <w:bottom w:val="none" w:sz="0" w:space="0" w:color="auto"/>
        <w:right w:val="none" w:sz="0" w:space="0" w:color="auto"/>
      </w:divBdr>
    </w:div>
    <w:div w:id="1568878064">
      <w:bodyDiv w:val="1"/>
      <w:marLeft w:val="0"/>
      <w:marRight w:val="0"/>
      <w:marTop w:val="0"/>
      <w:marBottom w:val="0"/>
      <w:divBdr>
        <w:top w:val="none" w:sz="0" w:space="0" w:color="auto"/>
        <w:left w:val="none" w:sz="0" w:space="0" w:color="auto"/>
        <w:bottom w:val="none" w:sz="0" w:space="0" w:color="auto"/>
        <w:right w:val="none" w:sz="0" w:space="0" w:color="auto"/>
      </w:divBdr>
      <w:divsChild>
        <w:div w:id="882324262">
          <w:marLeft w:val="0"/>
          <w:marRight w:val="0"/>
          <w:marTop w:val="0"/>
          <w:marBottom w:val="0"/>
          <w:divBdr>
            <w:top w:val="none" w:sz="0" w:space="0" w:color="auto"/>
            <w:left w:val="none" w:sz="0" w:space="0" w:color="auto"/>
            <w:bottom w:val="none" w:sz="0" w:space="0" w:color="auto"/>
            <w:right w:val="none" w:sz="0" w:space="0" w:color="auto"/>
          </w:divBdr>
        </w:div>
      </w:divsChild>
    </w:div>
    <w:div w:id="1590768852">
      <w:bodyDiv w:val="1"/>
      <w:marLeft w:val="0"/>
      <w:marRight w:val="0"/>
      <w:marTop w:val="0"/>
      <w:marBottom w:val="0"/>
      <w:divBdr>
        <w:top w:val="none" w:sz="0" w:space="0" w:color="auto"/>
        <w:left w:val="none" w:sz="0" w:space="0" w:color="auto"/>
        <w:bottom w:val="none" w:sz="0" w:space="0" w:color="auto"/>
        <w:right w:val="none" w:sz="0" w:space="0" w:color="auto"/>
      </w:divBdr>
    </w:div>
    <w:div w:id="1672487410">
      <w:bodyDiv w:val="1"/>
      <w:marLeft w:val="0"/>
      <w:marRight w:val="0"/>
      <w:marTop w:val="0"/>
      <w:marBottom w:val="0"/>
      <w:divBdr>
        <w:top w:val="none" w:sz="0" w:space="0" w:color="auto"/>
        <w:left w:val="none" w:sz="0" w:space="0" w:color="auto"/>
        <w:bottom w:val="none" w:sz="0" w:space="0" w:color="auto"/>
        <w:right w:val="none" w:sz="0" w:space="0" w:color="auto"/>
      </w:divBdr>
    </w:div>
    <w:div w:id="190614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2406</dc:creator>
  <cp:keywords/>
  <dc:description/>
  <cp:lastModifiedBy>2406</cp:lastModifiedBy>
  <cp:revision>5</cp:revision>
  <dcterms:created xsi:type="dcterms:W3CDTF">2020-11-15T03:56:00Z</dcterms:created>
  <dcterms:modified xsi:type="dcterms:W3CDTF">2020-11-16T05:09:00Z</dcterms:modified>
</cp:coreProperties>
</file>